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jc w:val="center"/>
        <w:textAlignment w:val="auto"/>
        <w:rPr>
          <w:rFonts w:hint="default" w:ascii="仿宋" w:hAnsi="仿宋" w:eastAsia="仿宋" w:cs="宋体"/>
          <w:b/>
          <w:bCs/>
          <w:sz w:val="40"/>
          <w:szCs w:val="40"/>
          <w:lang w:eastAsia="zh-CN"/>
        </w:rPr>
      </w:pPr>
      <w:r>
        <w:rPr>
          <w:rFonts w:hint="default" w:ascii="仿宋" w:hAnsi="仿宋" w:eastAsia="仿宋" w:cs="宋体"/>
          <w:b/>
          <w:bCs/>
          <w:sz w:val="40"/>
          <w:szCs w:val="40"/>
          <w:lang w:eastAsia="zh-CN"/>
        </w:rPr>
        <w:t>教育</w:t>
      </w:r>
      <w:r>
        <w:rPr>
          <w:rFonts w:hint="eastAsia" w:ascii="仿宋" w:hAnsi="仿宋" w:eastAsia="仿宋" w:cs="宋体"/>
          <w:b/>
          <w:bCs/>
          <w:sz w:val="40"/>
          <w:szCs w:val="40"/>
          <w:lang w:eastAsia="zh-CN"/>
        </w:rPr>
        <w:t>数字化</w:t>
      </w:r>
      <w:r>
        <w:rPr>
          <w:rFonts w:hint="default" w:ascii="仿宋" w:hAnsi="仿宋" w:eastAsia="仿宋" w:cs="宋体"/>
          <w:b/>
          <w:bCs/>
          <w:sz w:val="40"/>
          <w:szCs w:val="40"/>
          <w:lang w:eastAsia="zh-CN"/>
        </w:rPr>
        <w:t>转型</w:t>
      </w:r>
      <w:r>
        <w:rPr>
          <w:rFonts w:hint="eastAsia" w:ascii="仿宋" w:hAnsi="仿宋" w:eastAsia="仿宋" w:cs="宋体"/>
          <w:b/>
          <w:bCs/>
          <w:sz w:val="40"/>
          <w:szCs w:val="40"/>
          <w:lang w:eastAsia="zh-CN"/>
        </w:rPr>
        <w:t>虚拟仿真课程</w:t>
      </w:r>
      <w:r>
        <w:rPr>
          <w:rFonts w:hint="default" w:ascii="仿宋" w:hAnsi="仿宋" w:eastAsia="仿宋" w:cs="宋体"/>
          <w:b/>
          <w:bCs/>
          <w:sz w:val="40"/>
          <w:szCs w:val="40"/>
          <w:lang w:eastAsia="zh-CN"/>
        </w:rPr>
        <w:t>资源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jc w:val="center"/>
        <w:textAlignment w:val="auto"/>
        <w:rPr>
          <w:rFonts w:hint="eastAsia" w:ascii="仿宋" w:hAnsi="仿宋" w:eastAsia="仿宋" w:cs="仿宋"/>
          <w:color w:val="000000"/>
          <w:kern w:val="0"/>
          <w:sz w:val="40"/>
          <w:szCs w:val="40"/>
          <w:lang w:bidi="ar"/>
        </w:rPr>
      </w:pPr>
      <w:r>
        <w:rPr>
          <w:rFonts w:hint="eastAsia" w:ascii="仿宋" w:hAnsi="仿宋" w:eastAsia="仿宋" w:cs="宋体"/>
          <w:b/>
          <w:bCs/>
          <w:sz w:val="40"/>
          <w:szCs w:val="40"/>
          <w:lang w:eastAsia="zh-CN"/>
        </w:rPr>
        <w:t>建设</w:t>
      </w:r>
      <w:r>
        <w:rPr>
          <w:rFonts w:hint="default" w:ascii="仿宋" w:hAnsi="仿宋" w:eastAsia="仿宋" w:cs="宋体"/>
          <w:b/>
          <w:bCs/>
          <w:sz w:val="40"/>
          <w:szCs w:val="40"/>
          <w:lang w:eastAsia="zh-CN"/>
        </w:rPr>
        <w:t>与应用</w:t>
      </w:r>
      <w:r>
        <w:rPr>
          <w:rFonts w:hint="eastAsia" w:cs="宋体"/>
          <w:b/>
          <w:bCs/>
          <w:sz w:val="40"/>
          <w:szCs w:val="40"/>
          <w:lang w:val="en-US" w:eastAsia="zh-CN"/>
        </w:rPr>
        <w:t>沙龙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为深入推进国家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教育数字化战略行动及教育数字化转型，推进虚拟现实技术与教育教学的深度融合，帮助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各</w:t>
      </w:r>
      <w:r>
        <w:rPr>
          <w:rFonts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院校积极采用虚拟仿真技术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开展“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省级、国家级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一流本科课程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”</w:t>
      </w:r>
      <w:r>
        <w:rPr>
          <w:rFonts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建设，对接“国家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高等教育</w:t>
      </w:r>
      <w:r>
        <w:rPr>
          <w:rFonts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智慧教育平台”虚仿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实验</w:t>
      </w:r>
      <w:r>
        <w:rPr>
          <w:rFonts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版块，应用于“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高校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教师</w:t>
      </w:r>
      <w:r>
        <w:rPr>
          <w:rFonts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教学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创新</w:t>
      </w:r>
      <w:r>
        <w:rPr>
          <w:rFonts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大赛”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eastAsia="zh-CN" w:bidi="ar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数字化教材等</w:t>
      </w:r>
      <w:r>
        <w:rPr>
          <w:rFonts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混合式教学模式探索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，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遥知组织企业专家团队走进学校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bidi="ar"/>
        </w:rPr>
        <w:t>，开展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“教育数字化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bidi="ar"/>
        </w:rPr>
        <w:t>转型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虚拟仿真课程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bidi="ar"/>
        </w:rPr>
        <w:t>资源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建设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bidi="ar"/>
        </w:rPr>
        <w:t>与应用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沙龙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”。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bidi="ar"/>
        </w:rPr>
        <w:t>具体安排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</w:pPr>
    </w:p>
    <w:p>
      <w:pPr>
        <w:pStyle w:val="7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/>
        <w:textAlignment w:val="auto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cs="仿宋"/>
          <w:b/>
          <w:bCs/>
          <w:sz w:val="28"/>
          <w:szCs w:val="28"/>
          <w:lang w:val="en-US" w:eastAsia="zh-CN"/>
        </w:rPr>
        <w:t>沙龙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时间：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半天</w:t>
      </w:r>
      <w:bookmarkStart w:id="0" w:name="_GoBack"/>
      <w:bookmarkEnd w:id="0"/>
    </w:p>
    <w:p>
      <w:pPr>
        <w:pStyle w:val="7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/>
        <w:textAlignment w:val="auto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会议地点：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学校</w:t>
      </w:r>
      <w:r>
        <w:rPr>
          <w:rFonts w:hint="default" w:ascii="仿宋" w:hAnsi="仿宋" w:eastAsia="仿宋" w:cs="仿宋"/>
          <w:sz w:val="28"/>
          <w:szCs w:val="28"/>
          <w:lang w:eastAsia="zh-CN"/>
        </w:rPr>
        <w:t>线下会议室或线上</w:t>
      </w:r>
    </w:p>
    <w:p>
      <w:pPr>
        <w:pStyle w:val="7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/>
        <w:textAlignment w:val="auto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default" w:ascii="仿宋" w:hAnsi="仿宋" w:eastAsia="仿宋" w:cs="仿宋"/>
          <w:b/>
          <w:bCs/>
          <w:sz w:val="28"/>
          <w:szCs w:val="28"/>
          <w:lang w:eastAsia="zh-CN"/>
        </w:rPr>
        <w:t>参会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人员：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学校虚拟仿真课程建设院系负责人及骨干</w:t>
      </w:r>
      <w:r>
        <w:rPr>
          <w:rFonts w:hint="default" w:ascii="仿宋" w:hAnsi="仿宋" w:eastAsia="仿宋" w:cs="仿宋"/>
          <w:sz w:val="28"/>
          <w:szCs w:val="28"/>
          <w:lang w:eastAsia="zh-CN"/>
        </w:rPr>
        <w:t>教师</w:t>
      </w:r>
    </w:p>
    <w:p>
      <w:pPr>
        <w:pStyle w:val="7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/>
        <w:textAlignment w:val="auto"/>
        <w:rPr>
          <w:rFonts w:ascii="仿宋" w:hAnsi="仿宋" w:eastAsia="仿宋"/>
          <w:lang w:eastAsia="zh-CN"/>
        </w:rPr>
      </w:pPr>
      <w:r>
        <w:rPr>
          <w:rFonts w:hint="eastAsia" w:cs="仿宋"/>
          <w:b/>
          <w:bCs/>
          <w:sz w:val="28"/>
          <w:szCs w:val="28"/>
          <w:lang w:val="en-US" w:eastAsia="zh-CN"/>
        </w:rPr>
        <w:t>沙龙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内容</w:t>
      </w:r>
    </w:p>
    <w:tbl>
      <w:tblPr>
        <w:tblStyle w:val="12"/>
        <w:tblW w:w="8199" w:type="dxa"/>
        <w:tblInd w:w="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7"/>
        <w:gridCol w:w="5590"/>
        <w:gridCol w:w="1172"/>
      </w:tblGrid>
      <w:tr>
        <w:trPr>
          <w:trHeight w:val="424" w:hRule="atLeast"/>
        </w:trPr>
        <w:tc>
          <w:tcPr>
            <w:tcW w:w="1437" w:type="dxa"/>
            <w:shd w:val="clear" w:color="auto" w:fill="F2F2F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pacing w:val="-13"/>
                <w:sz w:val="24"/>
                <w:szCs w:val="24"/>
                <w:lang w:val="en-US" w:eastAsia="zh-CN"/>
              </w:rPr>
              <w:t>主 题</w:t>
            </w:r>
          </w:p>
        </w:tc>
        <w:tc>
          <w:tcPr>
            <w:tcW w:w="5590" w:type="dxa"/>
            <w:shd w:val="clear" w:color="auto" w:fill="F2F2F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pacing w:val="-14"/>
                <w:sz w:val="24"/>
                <w:szCs w:val="24"/>
                <w:lang w:val="en-US" w:eastAsia="zh-CN"/>
              </w:rPr>
              <w:t xml:space="preserve">会  议 </w:t>
            </w:r>
            <w:r>
              <w:rPr>
                <w:rFonts w:ascii="仿宋" w:hAnsi="仿宋" w:eastAsia="仿宋"/>
                <w:spacing w:val="-14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/>
                <w:b/>
                <w:bCs/>
                <w:spacing w:val="-14"/>
                <w:sz w:val="24"/>
                <w:szCs w:val="24"/>
              </w:rPr>
              <w:t>内</w:t>
            </w:r>
            <w:r>
              <w:rPr>
                <w:rFonts w:ascii="仿宋" w:hAnsi="仿宋" w:eastAsia="仿宋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b/>
                <w:bCs/>
                <w:spacing w:val="-14"/>
                <w:sz w:val="24"/>
                <w:szCs w:val="24"/>
              </w:rPr>
              <w:t>容</w:t>
            </w:r>
          </w:p>
        </w:tc>
        <w:tc>
          <w:tcPr>
            <w:tcW w:w="1172" w:type="dxa"/>
            <w:shd w:val="clear" w:color="auto" w:fill="F2F2F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仿宋" w:hAnsi="仿宋" w:eastAsia="仿宋"/>
                <w:b/>
                <w:bCs/>
                <w:spacing w:val="-14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pacing w:val="-14"/>
                <w:sz w:val="24"/>
                <w:szCs w:val="24"/>
                <w:lang w:val="en-US" w:eastAsia="zh-CN"/>
              </w:rPr>
              <w:t>时 长</w:t>
            </w:r>
          </w:p>
        </w:tc>
      </w:tr>
      <w:tr>
        <w:trPr>
          <w:trHeight w:val="653" w:hRule="atLeast"/>
        </w:trPr>
        <w:tc>
          <w:tcPr>
            <w:tcW w:w="1437" w:type="dxa"/>
            <w:vMerge w:val="restart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spacing w:val="-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虚拟仿真技术在教育数字化中的深度融合与创新应用</w:t>
            </w:r>
          </w:p>
        </w:tc>
        <w:tc>
          <w:tcPr>
            <w:tcW w:w="5590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>虚拟仿真在数字教育发展中的机遇</w:t>
            </w:r>
          </w:p>
        </w:tc>
        <w:tc>
          <w:tcPr>
            <w:tcW w:w="1172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  <w:highlight w:val="none"/>
                <w:lang w:eastAsia="zh-CN"/>
              </w:rPr>
              <w:t>0分钟</w:t>
            </w:r>
          </w:p>
        </w:tc>
      </w:tr>
      <w:tr>
        <w:trPr>
          <w:trHeight w:val="737" w:hRule="atLeast"/>
        </w:trPr>
        <w:tc>
          <w:tcPr>
            <w:tcW w:w="1437" w:type="dxa"/>
            <w:vMerge w:val="continue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590" w:type="dxa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4"/>
                <w:szCs w:val="24"/>
                <w:highlight w:val="none"/>
                <w:lang w:val="en-US"/>
              </w:rPr>
            </w:pPr>
            <w:r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国家级虚拟仿真课程建设现状和优秀案例</w:t>
            </w:r>
          </w:p>
        </w:tc>
        <w:tc>
          <w:tcPr>
            <w:tcW w:w="1172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ascii="仿宋" w:hAnsi="仿宋" w:eastAsia="仿宋"/>
                <w:sz w:val="24"/>
                <w:szCs w:val="24"/>
                <w:highlight w:val="none"/>
                <w:lang w:eastAsia="zh-CN"/>
              </w:rPr>
              <w:t>0分钟</w:t>
            </w:r>
          </w:p>
        </w:tc>
      </w:tr>
      <w:tr>
        <w:trPr>
          <w:trHeight w:val="469" w:hRule="atLeast"/>
        </w:trPr>
        <w:tc>
          <w:tcPr>
            <w:tcW w:w="1437" w:type="dxa"/>
            <w:vMerge w:val="continue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590" w:type="dxa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虚拟仿真技术在教师教学竞赛的应用</w:t>
            </w:r>
          </w:p>
        </w:tc>
        <w:tc>
          <w:tcPr>
            <w:tcW w:w="1172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ascii="仿宋" w:hAnsi="仿宋" w:eastAsia="仿宋"/>
                <w:sz w:val="24"/>
                <w:szCs w:val="24"/>
                <w:lang w:eastAsia="zh-CN"/>
              </w:rPr>
              <w:t>0分钟</w:t>
            </w:r>
          </w:p>
        </w:tc>
      </w:tr>
      <w:tr>
        <w:trPr>
          <w:trHeight w:val="653" w:hRule="atLeast"/>
        </w:trPr>
        <w:tc>
          <w:tcPr>
            <w:tcW w:w="1437" w:type="dxa"/>
            <w:vMerge w:val="continue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" w:hAnsi="仿宋" w:eastAsia="仿宋"/>
                <w:spacing w:val="-2"/>
                <w:sz w:val="24"/>
                <w:szCs w:val="24"/>
                <w:lang w:eastAsia="zh-CN"/>
              </w:rPr>
            </w:pPr>
          </w:p>
        </w:tc>
        <w:tc>
          <w:tcPr>
            <w:tcW w:w="5590" w:type="dxa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虚拟仿真在数字化教育中融合应用的建议</w:t>
            </w:r>
          </w:p>
        </w:tc>
        <w:tc>
          <w:tcPr>
            <w:tcW w:w="1172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ascii="仿宋" w:hAnsi="仿宋" w:eastAsia="仿宋"/>
                <w:sz w:val="24"/>
                <w:szCs w:val="24"/>
                <w:lang w:eastAsia="zh-CN"/>
              </w:rPr>
              <w:t>0分钟</w:t>
            </w:r>
          </w:p>
        </w:tc>
      </w:tr>
      <w:tr>
        <w:trPr>
          <w:trHeight w:val="653" w:hRule="atLeast"/>
        </w:trPr>
        <w:tc>
          <w:tcPr>
            <w:tcW w:w="1437" w:type="dxa"/>
            <w:vMerge w:val="continue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" w:hAnsi="仿宋" w:eastAsia="仿宋"/>
                <w:spacing w:val="-2"/>
                <w:sz w:val="24"/>
                <w:szCs w:val="24"/>
                <w:lang w:eastAsia="zh-CN"/>
              </w:rPr>
            </w:pPr>
          </w:p>
        </w:tc>
        <w:tc>
          <w:tcPr>
            <w:tcW w:w="5590" w:type="dxa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沟通交流</w:t>
            </w:r>
          </w:p>
        </w:tc>
        <w:tc>
          <w:tcPr>
            <w:tcW w:w="1172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30分钟</w:t>
            </w:r>
          </w:p>
        </w:tc>
      </w:tr>
    </w:tbl>
    <w:p>
      <w:pPr>
        <w:numPr>
          <w:ilvl w:val="0"/>
          <w:numId w:val="0"/>
        </w:numPr>
        <w:ind w:leftChars="0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4530090</wp:posOffset>
            </wp:positionH>
            <wp:positionV relativeFrom="paragraph">
              <wp:posOffset>85090</wp:posOffset>
            </wp:positionV>
            <wp:extent cx="852170" cy="852170"/>
            <wp:effectExtent l="0" t="0" r="11430" b="1143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2170" cy="852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五、</w:t>
      </w:r>
      <w:r>
        <w:rPr>
          <w:rFonts w:hint="default" w:ascii="仿宋" w:hAnsi="仿宋" w:eastAsia="仿宋"/>
          <w:b/>
          <w:bCs/>
          <w:sz w:val="28"/>
          <w:szCs w:val="28"/>
        </w:rPr>
        <w:t>报名申请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641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default" w:ascii="仿宋" w:hAnsi="仿宋" w:eastAsia="仿宋" w:cs="仿宋"/>
          <w:b w:val="0"/>
          <w:bCs w:val="0"/>
          <w:sz w:val="28"/>
          <w:szCs w:val="28"/>
        </w:rPr>
        <w:t>本次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沙龙</w:t>
      </w:r>
      <w:r>
        <w:rPr>
          <w:rFonts w:hint="default" w:ascii="仿宋" w:hAnsi="仿宋" w:eastAsia="仿宋" w:cs="仿宋"/>
          <w:b w:val="0"/>
          <w:bCs w:val="0"/>
          <w:sz w:val="28"/>
          <w:szCs w:val="28"/>
        </w:rPr>
        <w:t>由企业免费支持，意向参与的学校和老师可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扫描右侧二维</w:t>
      </w:r>
      <w:r>
        <w:rPr>
          <w:rFonts w:hint="default" w:ascii="仿宋" w:hAnsi="仿宋" w:eastAsia="仿宋" w:cs="仿宋"/>
          <w:b w:val="0"/>
          <w:bCs w:val="0"/>
          <w:sz w:val="28"/>
          <w:szCs w:val="28"/>
        </w:rPr>
        <w:t>码报名；或联系遥知各地分支机构人员报名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。</w:t>
      </w:r>
    </w:p>
    <w:p>
      <w:pP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br w:type="page"/>
      </w:r>
    </w:p>
    <w:tbl>
      <w:tblPr>
        <w:tblStyle w:val="9"/>
        <w:tblpPr w:leftFromText="181" w:rightFromText="181" w:vertAnchor="text" w:horzAnchor="page" w:tblpX="1898" w:tblpY="1027"/>
        <w:tblOverlap w:val="never"/>
        <w:tblW w:w="4998" w:type="pct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6"/>
        <w:gridCol w:w="1239"/>
        <w:gridCol w:w="4664"/>
      </w:tblGrid>
      <w:tr>
        <w:trPr>
          <w:trHeight w:val="627" w:hRule="atLeast"/>
        </w:trPr>
        <w:tc>
          <w:tcPr>
            <w:tcW w:w="1535" w:type="pct"/>
            <w:vMerge w:val="restart"/>
            <w:tcBorders>
              <w:top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eastAsia" w:eastAsia="仿宋"/>
                <w:sz w:val="22"/>
                <w:szCs w:val="22"/>
                <w:vertAlign w:val="baseline"/>
                <w:lang w:eastAsia="zh-CN"/>
              </w:rPr>
              <w:drawing>
                <wp:inline distT="0" distB="0" distL="114300" distR="114300">
                  <wp:extent cx="1478915" cy="1108710"/>
                  <wp:effectExtent l="0" t="0" r="19685" b="8890"/>
                  <wp:docPr id="6" name="图片 6" descr="/Users/cc/Library/Containers/com.kingsoft.wpsoffice.mac/Data/tmp/picturecompress_20240806145347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/Users/cc/Library/Containers/com.kingsoft.wpsoffice.mac/Data/tmp/picturecompress_20240806145347/output_1.jpgoutput_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108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3" w:type="dxa"/>
            <w:gridSpan w:val="2"/>
            <w:tcBorders>
              <w:top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eastAsia="zh-CN"/>
              </w:rPr>
              <w:t>湖北省</w:t>
            </w: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  <w:t>高校虚拟仿真课程建设研讨会</w:t>
            </w:r>
          </w:p>
        </w:tc>
      </w:tr>
      <w:tr>
        <w:trPr>
          <w:trHeight w:val="824" w:hRule="atLeast"/>
        </w:trPr>
        <w:tc>
          <w:tcPr>
            <w:tcW w:w="1535" w:type="pct"/>
            <w:vMerge w:val="continue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组织单位</w:t>
            </w:r>
          </w:p>
        </w:tc>
        <w:tc>
          <w:tcPr>
            <w:tcW w:w="4664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武汉计算机软件工程学会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、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湖北第二师范学院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、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湖北遥知</w:t>
            </w:r>
          </w:p>
        </w:tc>
      </w:tr>
      <w:tr>
        <w:trPr>
          <w:trHeight w:val="572" w:hRule="atLeast"/>
        </w:trPr>
        <w:tc>
          <w:tcPr>
            <w:tcW w:w="1535" w:type="pct"/>
            <w:vMerge w:val="continue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9" w:type="dxa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活动时间</w:t>
            </w:r>
          </w:p>
        </w:tc>
        <w:tc>
          <w:tcPr>
            <w:tcW w:w="4664" w:type="dxa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2024年3月29日</w:t>
            </w:r>
          </w:p>
        </w:tc>
      </w:tr>
      <w:tr>
        <w:trPr>
          <w:trHeight w:val="572" w:hRule="atLeast"/>
        </w:trPr>
        <w:tc>
          <w:tcPr>
            <w:tcW w:w="1535" w:type="pct"/>
            <w:vMerge w:val="restar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sz w:val="22"/>
                <w:szCs w:val="22"/>
                <w:vertAlign w:val="baseline"/>
              </w:rPr>
              <w:drawing>
                <wp:inline distT="0" distB="0" distL="114300" distR="114300">
                  <wp:extent cx="1524000" cy="1143000"/>
                  <wp:effectExtent l="0" t="0" r="0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4" w:type="pct"/>
            <w:gridSpan w:val="2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云南</w:t>
            </w: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eastAsia="zh-CN"/>
              </w:rPr>
              <w:t>省职业教育教师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国培项目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2"/>
                <w:szCs w:val="22"/>
                <w:lang w:eastAsia="en-US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信息技术应用能力提升-虚拟仿真系统应用培训</w:t>
            </w:r>
          </w:p>
        </w:tc>
      </w:tr>
      <w:tr>
        <w:trPr>
          <w:trHeight w:val="572" w:hRule="atLeast"/>
        </w:trPr>
        <w:tc>
          <w:tcPr>
            <w:tcW w:w="1535" w:type="pct"/>
            <w:vMerge w:val="continue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727" w:type="pct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vertAlign w:val="baseline"/>
                <w:lang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组织单位</w:t>
            </w:r>
          </w:p>
        </w:tc>
        <w:tc>
          <w:tcPr>
            <w:tcW w:w="2737" w:type="pct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kern w:val="2"/>
                <w:sz w:val="22"/>
                <w:szCs w:val="22"/>
                <w:lang w:eastAsia="en-US" w:bidi="ar-SA"/>
              </w:rPr>
            </w:pPr>
            <w:r>
              <w:rPr>
                <w:rFonts w:hint="eastAsia"/>
                <w:sz w:val="22"/>
                <w:szCs w:val="22"/>
              </w:rPr>
              <w:t>浙江金华职业技术学院</w:t>
            </w:r>
          </w:p>
        </w:tc>
      </w:tr>
      <w:tr>
        <w:trPr>
          <w:trHeight w:val="572" w:hRule="atLeast"/>
        </w:trPr>
        <w:tc>
          <w:tcPr>
            <w:tcW w:w="1535" w:type="pct"/>
            <w:vMerge w:val="continue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727" w:type="pct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vertAlign w:val="baseline"/>
                <w:lang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活动时间</w:t>
            </w:r>
          </w:p>
        </w:tc>
        <w:tc>
          <w:tcPr>
            <w:tcW w:w="2737" w:type="pct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kern w:val="2"/>
                <w:sz w:val="22"/>
                <w:szCs w:val="22"/>
                <w:lang w:eastAsia="en-US" w:bidi="ar-SA"/>
              </w:rPr>
            </w:pPr>
            <w:r>
              <w:rPr>
                <w:rFonts w:hint="default"/>
                <w:sz w:val="22"/>
                <w:szCs w:val="22"/>
              </w:rPr>
              <w:t>2024年5月</w:t>
            </w:r>
          </w:p>
        </w:tc>
      </w:tr>
      <w:tr>
        <w:trPr>
          <w:trHeight w:val="572" w:hRule="atLeast"/>
        </w:trPr>
        <w:tc>
          <w:tcPr>
            <w:tcW w:w="1535" w:type="pct"/>
            <w:vMerge w:val="restar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sz w:val="22"/>
                <w:szCs w:val="22"/>
              </w:rPr>
              <w:drawing>
                <wp:inline distT="0" distB="0" distL="114300" distR="114300">
                  <wp:extent cx="1499870" cy="1125220"/>
                  <wp:effectExtent l="0" t="0" r="24130" b="1778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870" cy="1125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3" w:type="dxa"/>
            <w:gridSpan w:val="2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eastAsia="zh-CN" w:bidi="ar-SA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  <w:t>湖南交通职业技术学院教师教学能力提升培训</w:t>
            </w:r>
          </w:p>
        </w:tc>
      </w:tr>
      <w:tr>
        <w:trPr>
          <w:trHeight w:val="572" w:hRule="atLeast"/>
        </w:trPr>
        <w:tc>
          <w:tcPr>
            <w:tcW w:w="1535" w:type="pct"/>
            <w:vMerge w:val="continue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9" w:type="dxa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vertAlign w:val="baseline"/>
                <w:lang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组织单位</w:t>
            </w:r>
          </w:p>
        </w:tc>
        <w:tc>
          <w:tcPr>
            <w:tcW w:w="4664" w:type="dxa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eastAsia="zh-CN" w:bidi="ar-SA"/>
              </w:rPr>
            </w:pPr>
            <w:r>
              <w:rPr>
                <w:rFonts w:hint="default"/>
                <w:sz w:val="22"/>
                <w:szCs w:val="22"/>
              </w:rPr>
              <w:t>湖南交通职业技术学院 教务处</w:t>
            </w:r>
          </w:p>
        </w:tc>
      </w:tr>
      <w:tr>
        <w:trPr>
          <w:trHeight w:val="572" w:hRule="atLeast"/>
        </w:trPr>
        <w:tc>
          <w:tcPr>
            <w:tcW w:w="1535" w:type="pct"/>
            <w:vMerge w:val="continue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9" w:type="dxa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vertAlign w:val="baseline"/>
                <w:lang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活动时间</w:t>
            </w:r>
          </w:p>
        </w:tc>
        <w:tc>
          <w:tcPr>
            <w:tcW w:w="4664" w:type="dxa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eastAsia="zh-CN" w:bidi="ar-SA"/>
              </w:rPr>
            </w:pPr>
            <w:r>
              <w:rPr>
                <w:rFonts w:hint="default"/>
                <w:sz w:val="22"/>
                <w:szCs w:val="22"/>
              </w:rPr>
              <w:t>2024年7月11日</w:t>
            </w:r>
          </w:p>
        </w:tc>
      </w:tr>
      <w:tr>
        <w:trPr>
          <w:trHeight w:val="818" w:hRule="atLeast"/>
        </w:trPr>
        <w:tc>
          <w:tcPr>
            <w:tcW w:w="1535" w:type="pct"/>
            <w:vMerge w:val="restart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eastAsia="仿宋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eastAsia="仿宋"/>
                <w:sz w:val="22"/>
                <w:szCs w:val="22"/>
                <w:vertAlign w:val="baseline"/>
                <w:lang w:eastAsia="zh-CN"/>
              </w:rPr>
              <w:drawing>
                <wp:inline distT="0" distB="0" distL="114300" distR="114300">
                  <wp:extent cx="1499870" cy="1012190"/>
                  <wp:effectExtent l="0" t="0" r="5080" b="1651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870" cy="1012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4" w:type="pct"/>
            <w:gridSpan w:val="2"/>
            <w:tcBorders>
              <w:top w:val="doub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福建省职业院校教师素质提高计划项目-信息技术应用能力提升-基于NLP数字技术在职教课堂应用研修班</w:t>
            </w:r>
          </w:p>
        </w:tc>
      </w:tr>
      <w:tr>
        <w:trPr>
          <w:trHeight w:val="640" w:hRule="atLeast"/>
        </w:trPr>
        <w:tc>
          <w:tcPr>
            <w:tcW w:w="1535" w:type="pct"/>
            <w:vMerge w:val="continue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727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组织单位</w:t>
            </w:r>
          </w:p>
        </w:tc>
        <w:tc>
          <w:tcPr>
            <w:tcW w:w="2737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同济大学</w:t>
            </w:r>
          </w:p>
        </w:tc>
      </w:tr>
      <w:tr>
        <w:trPr>
          <w:trHeight w:val="641" w:hRule="atLeast"/>
        </w:trPr>
        <w:tc>
          <w:tcPr>
            <w:tcW w:w="1535" w:type="pct"/>
            <w:vMerge w:val="continue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727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活动时间</w:t>
            </w:r>
          </w:p>
        </w:tc>
        <w:tc>
          <w:tcPr>
            <w:tcW w:w="2737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202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3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年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11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月</w:t>
            </w:r>
          </w:p>
        </w:tc>
      </w:tr>
      <w:tr>
        <w:trPr>
          <w:trHeight w:val="662" w:hRule="atLeast"/>
        </w:trPr>
        <w:tc>
          <w:tcPr>
            <w:tcW w:w="1535" w:type="pct"/>
            <w:vMerge w:val="restar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sz w:val="22"/>
                <w:szCs w:val="22"/>
              </w:rPr>
              <w:drawing>
                <wp:inline distT="0" distB="0" distL="114300" distR="114300">
                  <wp:extent cx="1483360" cy="1114425"/>
                  <wp:effectExtent l="0" t="0" r="2540" b="952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4" w:type="pct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eastAsia="zh-CN"/>
              </w:rPr>
              <w:t>山东省</w:t>
            </w: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  <w:t>教育数字化转型虚拟仿真课程建设研讨会</w:t>
            </w:r>
          </w:p>
        </w:tc>
      </w:tr>
      <w:tr>
        <w:trPr>
          <w:trHeight w:val="1099" w:hRule="atLeast"/>
        </w:trPr>
        <w:tc>
          <w:tcPr>
            <w:tcW w:w="1535" w:type="pct"/>
            <w:vMerge w:val="continue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727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组织单位</w:t>
            </w:r>
          </w:p>
        </w:tc>
        <w:tc>
          <w:tcPr>
            <w:tcW w:w="2737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山东电子学会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、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山东省数字经济职业教育集团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、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威海海洋职业学院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、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山东省虚拟现实产业联盟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、山东遥知</w:t>
            </w:r>
          </w:p>
        </w:tc>
      </w:tr>
      <w:tr>
        <w:trPr>
          <w:trHeight w:val="572" w:hRule="atLeast"/>
        </w:trPr>
        <w:tc>
          <w:tcPr>
            <w:tcW w:w="1535" w:type="pct"/>
            <w:vMerge w:val="continue"/>
            <w:tcBorders>
              <w:bottom w:val="double" w:color="auto" w:sz="4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727" w:type="pct"/>
            <w:tcBorders>
              <w:bottom w:val="double" w:color="auto" w:sz="4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活动时间</w:t>
            </w:r>
          </w:p>
        </w:tc>
        <w:tc>
          <w:tcPr>
            <w:tcW w:w="2737" w:type="pct"/>
            <w:tcBorders>
              <w:bottom w:val="double" w:color="auto" w:sz="4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sz w:val="22"/>
                <w:szCs w:val="22"/>
                <w:vertAlign w:val="baseline"/>
              </w:rPr>
              <w:t>2024年8月1-3日</w:t>
            </w:r>
          </w:p>
        </w:tc>
      </w:tr>
    </w:tbl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center"/>
        <w:textAlignment w:val="auto"/>
        <w:rPr>
          <w:rFonts w:ascii="仿宋" w:hAnsi="仿宋" w:eastAsia="仿宋"/>
          <w:b/>
          <w:bCs/>
          <w:sz w:val="28"/>
          <w:szCs w:val="28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校企合作</w:t>
      </w:r>
      <w:r>
        <w:rPr>
          <w:rFonts w:ascii="仿宋" w:hAnsi="仿宋" w:eastAsia="仿宋" w:cs="宋体"/>
          <w:b/>
          <w:bCs/>
          <w:sz w:val="28"/>
          <w:szCs w:val="28"/>
          <w:lang w:eastAsia="zh-CN"/>
        </w:rPr>
        <w:t>虚拟仿真课程资源建设与应用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会议</w:t>
      </w:r>
      <w:r>
        <w:rPr>
          <w:rFonts w:ascii="仿宋" w:hAnsi="仿宋" w:eastAsia="仿宋"/>
          <w:b/>
          <w:bCs/>
          <w:sz w:val="28"/>
          <w:szCs w:val="28"/>
        </w:rPr>
        <w:t>案例介绍</w:t>
      </w:r>
    </w:p>
    <w:p>
      <w:pPr>
        <w:pStyle w:val="7"/>
        <w:ind w:left="0" w:leftChars="0" w:firstLine="0" w:firstLineChars="0"/>
        <w:rPr>
          <w:rFonts w:hint="eastAsia"/>
        </w:rPr>
      </w:pPr>
    </w:p>
    <w:p>
      <w:pPr>
        <w:pStyle w:val="7"/>
        <w:ind w:left="0" w:leftChars="0" w:firstLine="0" w:firstLineChars="0"/>
        <w:jc w:val="left"/>
        <w:rPr>
          <w:rFonts w:hint="default"/>
          <w:sz w:val="22"/>
          <w:szCs w:val="22"/>
        </w:rPr>
      </w:pPr>
    </w:p>
    <w:p>
      <w:pPr>
        <w:pStyle w:val="7"/>
        <w:ind w:left="0" w:leftChars="0" w:firstLine="0" w:firstLineChars="0"/>
        <w:jc w:val="left"/>
        <w:rPr>
          <w:rFonts w:hint="default"/>
          <w:sz w:val="22"/>
          <w:szCs w:val="2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IN Condensed">
    <w:panose1 w:val="00000500000000000000"/>
    <w:charset w:val="00"/>
    <w:family w:val="auto"/>
    <w:pitch w:val="default"/>
    <w:sig w:usb0="800000AF" w:usb1="5000204A" w:usb2="00000000" w:usb3="00000000" w:csb0="00000001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bidi w:val="0"/>
      <w:jc w:val="center"/>
      <w:rPr>
        <w:caps/>
        <w:smallCaps w:val="0"/>
        <w:spacing w:val="68"/>
        <w:sz w:val="20"/>
        <w:szCs w:val="20"/>
      </w:rPr>
    </w:pPr>
    <w:r>
      <w:rPr>
        <w:rFonts w:hint="eastAsia" w:ascii="华文宋体" w:hAnsi="华文宋体" w:eastAsia="华文宋体" w:cs="华文宋体"/>
        <w:caps/>
        <w:smallCaps w:val="0"/>
        <w:spacing w:val="68"/>
        <w:kern w:val="10"/>
        <w:sz w:val="24"/>
        <w:szCs w:val="28"/>
        <w:lang w:val="en-US" w:eastAsia="zh-Hans"/>
      </w:rPr>
      <w:t>遥知</w:t>
    </w:r>
    <w:r>
      <w:rPr>
        <w:rFonts w:hint="eastAsia" w:ascii="华文宋体" w:hAnsi="华文宋体" w:eastAsia="华文宋体" w:cs="华文宋体"/>
        <w:caps/>
        <w:smallCaps w:val="0"/>
        <w:spacing w:val="68"/>
        <w:kern w:val="10"/>
        <w:sz w:val="24"/>
        <w:szCs w:val="28"/>
        <w:lang w:val="en-US" w:eastAsia="zh-CN"/>
      </w:rPr>
      <w:t>·数字教育·虚拟现实开发·元宇宙共享平台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5FB959"/>
    <w:multiLevelType w:val="singleLevel"/>
    <w:tmpl w:val="DB5FB959"/>
    <w:lvl w:ilvl="0" w:tentative="0">
      <w:start w:val="1"/>
      <w:numFmt w:val="chineseCounting"/>
      <w:suff w:val="nothing"/>
      <w:lvlText w:val="%1、"/>
      <w:lvlJc w:val="left"/>
      <w:rPr>
        <w:rFonts w:hint="eastAsia" w:ascii="Times New Roman Bold" w:hAnsi="Times New Roman Bold" w:cs="Times New Roman Bold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hNzA5ZGYzMjVjMjExNzg0M2M2MzRiMTdlMDRiNWIifQ=="/>
  </w:docVars>
  <w:rsids>
    <w:rsidRoot w:val="3BF8C433"/>
    <w:rsid w:val="00035D2E"/>
    <w:rsid w:val="00076A50"/>
    <w:rsid w:val="000A2380"/>
    <w:rsid w:val="00173BB7"/>
    <w:rsid w:val="00217FF2"/>
    <w:rsid w:val="00342F65"/>
    <w:rsid w:val="00383D3F"/>
    <w:rsid w:val="0038563E"/>
    <w:rsid w:val="0049329E"/>
    <w:rsid w:val="00571F93"/>
    <w:rsid w:val="005B01CB"/>
    <w:rsid w:val="00640EA4"/>
    <w:rsid w:val="006E1968"/>
    <w:rsid w:val="007C7DC9"/>
    <w:rsid w:val="007F16A3"/>
    <w:rsid w:val="008861FA"/>
    <w:rsid w:val="00A66434"/>
    <w:rsid w:val="00AB1D19"/>
    <w:rsid w:val="00AC0299"/>
    <w:rsid w:val="00B46FB8"/>
    <w:rsid w:val="00BD41B4"/>
    <w:rsid w:val="00BD5646"/>
    <w:rsid w:val="00C01C2B"/>
    <w:rsid w:val="00C40228"/>
    <w:rsid w:val="00C57311"/>
    <w:rsid w:val="00CB24C6"/>
    <w:rsid w:val="00CB7631"/>
    <w:rsid w:val="00DF0EC1"/>
    <w:rsid w:val="00E42F12"/>
    <w:rsid w:val="00E80C2D"/>
    <w:rsid w:val="00F03985"/>
    <w:rsid w:val="00FF690E"/>
    <w:rsid w:val="0A5A1DCC"/>
    <w:rsid w:val="16FF8E20"/>
    <w:rsid w:val="1DEF6923"/>
    <w:rsid w:val="24FDB3D4"/>
    <w:rsid w:val="2FF694CB"/>
    <w:rsid w:val="2FFD019A"/>
    <w:rsid w:val="2FFF5254"/>
    <w:rsid w:val="39E35F04"/>
    <w:rsid w:val="3AEF7290"/>
    <w:rsid w:val="3BBFE052"/>
    <w:rsid w:val="3BD7429C"/>
    <w:rsid w:val="3BF8C433"/>
    <w:rsid w:val="3E95E6F6"/>
    <w:rsid w:val="3F7F8AFA"/>
    <w:rsid w:val="4DE7F9B9"/>
    <w:rsid w:val="4FDB03F9"/>
    <w:rsid w:val="51AFB2DD"/>
    <w:rsid w:val="538B12DC"/>
    <w:rsid w:val="539B5998"/>
    <w:rsid w:val="53FF9900"/>
    <w:rsid w:val="5CAB52E4"/>
    <w:rsid w:val="668EDE1D"/>
    <w:rsid w:val="66E6354C"/>
    <w:rsid w:val="6A27CDE7"/>
    <w:rsid w:val="6BDF71C9"/>
    <w:rsid w:val="6F9E91ED"/>
    <w:rsid w:val="707B24E7"/>
    <w:rsid w:val="73F71B29"/>
    <w:rsid w:val="77756FEC"/>
    <w:rsid w:val="77FD53B9"/>
    <w:rsid w:val="79AF0BA4"/>
    <w:rsid w:val="7ADD0816"/>
    <w:rsid w:val="7AFC854C"/>
    <w:rsid w:val="7B7F5CEB"/>
    <w:rsid w:val="7B7F8A91"/>
    <w:rsid w:val="7BED55C3"/>
    <w:rsid w:val="7DFE3C65"/>
    <w:rsid w:val="7EF87A4B"/>
    <w:rsid w:val="7F53160F"/>
    <w:rsid w:val="7F6010AA"/>
    <w:rsid w:val="7FB29194"/>
    <w:rsid w:val="7FEE2BD7"/>
    <w:rsid w:val="9CBE2D28"/>
    <w:rsid w:val="9FBCA3A8"/>
    <w:rsid w:val="A59CC85B"/>
    <w:rsid w:val="BBF70EC3"/>
    <w:rsid w:val="BEFD8E78"/>
    <w:rsid w:val="BFF32710"/>
    <w:rsid w:val="D29EAE47"/>
    <w:rsid w:val="D5FF2EA7"/>
    <w:rsid w:val="DAFFB397"/>
    <w:rsid w:val="DDB6E46C"/>
    <w:rsid w:val="DECFCE26"/>
    <w:rsid w:val="EFFAC6B2"/>
    <w:rsid w:val="EFFF28DD"/>
    <w:rsid w:val="F3F0B2AA"/>
    <w:rsid w:val="F77324DB"/>
    <w:rsid w:val="F7ED60E4"/>
    <w:rsid w:val="FAB8CDA9"/>
    <w:rsid w:val="FDB64462"/>
    <w:rsid w:val="FDDF561C"/>
    <w:rsid w:val="FDFE6DBA"/>
    <w:rsid w:val="FE7BF36C"/>
    <w:rsid w:val="FF7F624C"/>
    <w:rsid w:val="FFCFB913"/>
    <w:rsid w:val="FFEDD6E8"/>
    <w:rsid w:val="FFFE295A"/>
    <w:rsid w:val="FFFFB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pBdr>
        <w:bottom w:val="single" w:color="F46B75" w:sz="8" w:space="0"/>
      </w:pBdr>
      <w:tabs>
        <w:tab w:val="right" w:pos="10600"/>
      </w:tabs>
      <w:outlineLvl w:val="1"/>
    </w:pPr>
    <w:rPr>
      <w:rFonts w:ascii="DIN Condensed" w:hAnsi="DIN Condensed" w:eastAsia="Arial Unicode MS" w:cs="Arial Unicode MS"/>
      <w:caps/>
      <w:color w:val="F46B75"/>
      <w:sz w:val="24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eastAsia="en-US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Body Text First Indent"/>
    <w:basedOn w:val="4"/>
    <w:unhideWhenUsed/>
    <w:qFormat/>
    <w:uiPriority w:val="99"/>
    <w:pPr>
      <w:ind w:firstLine="42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Table Text"/>
    <w:basedOn w:val="1"/>
    <w:qFormat/>
    <w:uiPriority w:val="0"/>
    <w:rPr>
      <w:rFonts w:ascii="宋体" w:hAnsi="宋体" w:eastAsia="宋体" w:cs="宋体"/>
      <w:sz w:val="24"/>
      <w:lang w:eastAsia="en-US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p1"/>
    <w:basedOn w:val="1"/>
    <w:uiPriority w:val="0"/>
    <w:pPr>
      <w:spacing w:before="0" w:beforeAutospacing="0" w:after="0" w:afterAutospacing="0"/>
      <w:ind w:left="0" w:right="0"/>
      <w:jc w:val="left"/>
    </w:pPr>
    <w:rPr>
      <w:rFonts w:ascii="helvetica" w:hAnsi="helvetica" w:eastAsia="helvetica" w:cs="helvetica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1057</Words>
  <Characters>1107</Characters>
  <Lines>5</Lines>
  <Paragraphs>1</Paragraphs>
  <TotalTime>21</TotalTime>
  <ScaleCrop>false</ScaleCrop>
  <LinksUpToDate>false</LinksUpToDate>
  <CharactersWithSpaces>1116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2024-01-26T11:52:00Z</dcterms:created>
  <dc:creator>陈虹CC</dc:creator>
  <cp:lastModifiedBy>陈虹CC</cp:lastModifiedBy>
  <cp:lastPrinted>2024-02-27T10:20:00Z</cp:lastPrinted>
  <dcterms:modified xsi:type="dcterms:W3CDTF">2025-02-21T16:14:39Z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6A57F7B155C5B1C181ACBD669BAAD56B_43</vt:lpwstr>
  </property>
</Properties>
</file>